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B2" w:rsidRDefault="00B621B2" w:rsidP="00904A59">
      <w:pPr>
        <w:jc w:val="center"/>
      </w:pPr>
    </w:p>
    <w:p w:rsidR="00EB0E0C" w:rsidRDefault="00904A59" w:rsidP="00847EC2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428750" cy="1428750"/>
            <wp:effectExtent l="19050" t="0" r="0" b="0"/>
            <wp:docPr id="3" name="Picture 1" descr="C:\Users\Steve\Desktop\kcgelectronics_rgb1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Desktop\kcgelectronics_rgb150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56" w:rsidRDefault="00DA0256" w:rsidP="00847EC2">
      <w:pPr>
        <w:jc w:val="center"/>
      </w:pPr>
    </w:p>
    <w:p w:rsidR="00D13116" w:rsidRDefault="00D13116" w:rsidP="00DA0256">
      <w:pPr>
        <w:ind w:firstLine="720"/>
        <w:jc w:val="center"/>
      </w:pPr>
    </w:p>
    <w:tbl>
      <w:tblPr>
        <w:tblW w:w="62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5"/>
        <w:gridCol w:w="3105"/>
      </w:tblGrid>
      <w:tr w:rsidR="00D13116" w:rsidTr="00D1311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15" w:type="dxa"/>
              <w:left w:w="360" w:type="dxa"/>
              <w:bottom w:w="315" w:type="dxa"/>
              <w:right w:w="90" w:type="dxa"/>
            </w:tcMar>
            <w:hideMark/>
          </w:tcPr>
          <w:p w:rsidR="00D13116" w:rsidRDefault="00D13116">
            <w:pPr>
              <w:numPr>
                <w:ilvl w:val="0"/>
                <w:numId w:val="1"/>
              </w:numPr>
              <w:ind w:left="225"/>
              <w:rPr>
                <w:rFonts w:ascii="Verdana" w:hAnsi="Verdana" w:cs="Arial"/>
                <w:b/>
                <w:bCs/>
                <w:color w:val="00AEEF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315" w:type="dxa"/>
              <w:left w:w="90" w:type="dxa"/>
              <w:bottom w:w="315" w:type="dxa"/>
              <w:right w:w="360" w:type="dxa"/>
            </w:tcMar>
            <w:hideMark/>
          </w:tcPr>
          <w:p w:rsidR="00D13116" w:rsidRDefault="00D13116">
            <w:pPr>
              <w:rPr>
                <w:rFonts w:ascii="Verdana" w:hAnsi="Verdana" w:cs="Arial"/>
                <w:color w:val="000000"/>
                <w:sz w:val="15"/>
                <w:szCs w:val="15"/>
              </w:rPr>
            </w:pPr>
          </w:p>
        </w:tc>
      </w:tr>
    </w:tbl>
    <w:p w:rsidR="006360F2" w:rsidRPr="006360F2" w:rsidRDefault="006360F2" w:rsidP="00D13116">
      <w:pPr>
        <w:pStyle w:val="NormalWeb"/>
        <w:shd w:val="clear" w:color="auto" w:fill="FFFFFF"/>
        <w:rPr>
          <w:rFonts w:ascii="Verdana" w:hAnsi="Verdana" w:cs="Arial"/>
          <w:b/>
          <w:color w:val="00B0F0"/>
          <w:sz w:val="28"/>
          <w:szCs w:val="28"/>
          <w:u w:val="single"/>
        </w:rPr>
      </w:pPr>
      <w:r w:rsidRPr="006360F2">
        <w:rPr>
          <w:rFonts w:ascii="Verdana" w:hAnsi="Verdana" w:cs="Arial"/>
          <w:b/>
          <w:color w:val="00B0F0"/>
          <w:sz w:val="28"/>
          <w:szCs w:val="28"/>
          <w:u w:val="single"/>
        </w:rPr>
        <w:t>NEW HMI OFFERS SCADA TYPE POSSIBILITIES</w:t>
      </w:r>
    </w:p>
    <w:p w:rsidR="006360F2" w:rsidRDefault="006360F2" w:rsidP="00D13116">
      <w:pPr>
        <w:pStyle w:val="NormalWeb"/>
        <w:shd w:val="clear" w:color="auto" w:fill="FFFFFF"/>
        <w:rPr>
          <w:rFonts w:ascii="Verdana" w:hAnsi="Verdana" w:cs="Arial"/>
          <w:color w:val="7A7A7A"/>
          <w:sz w:val="15"/>
          <w:szCs w:val="15"/>
        </w:rPr>
      </w:pPr>
    </w:p>
    <w:p w:rsidR="00D13116" w:rsidRDefault="00D13116" w:rsidP="00D13116">
      <w:pPr>
        <w:pStyle w:val="NormalWeb"/>
        <w:shd w:val="clear" w:color="auto" w:fill="FFFFFF"/>
        <w:rPr>
          <w:rFonts w:ascii="Verdana" w:hAnsi="Verdana" w:cs="Arial"/>
          <w:color w:val="7A7A7A"/>
          <w:sz w:val="15"/>
          <w:szCs w:val="15"/>
        </w:rPr>
      </w:pPr>
      <w:r>
        <w:rPr>
          <w:rFonts w:ascii="Verdana" w:hAnsi="Verdana" w:cs="Arial"/>
          <w:color w:val="7A7A7A"/>
          <w:sz w:val="15"/>
          <w:szCs w:val="15"/>
        </w:rPr>
        <w:t>The appealingly designed black, powder-coated alumin</w:t>
      </w:r>
      <w:r w:rsidR="006360F2">
        <w:rPr>
          <w:rFonts w:ascii="Verdana" w:hAnsi="Verdana" w:cs="Arial"/>
          <w:color w:val="7A7A7A"/>
          <w:sz w:val="15"/>
          <w:szCs w:val="15"/>
        </w:rPr>
        <w:t>i</w:t>
      </w:r>
      <w:r>
        <w:rPr>
          <w:rFonts w:ascii="Verdana" w:hAnsi="Verdana" w:cs="Arial"/>
          <w:color w:val="7A7A7A"/>
          <w:sz w:val="15"/>
          <w:szCs w:val="15"/>
        </w:rPr>
        <w:t>um frame and casing provides protection and affords a timeless look. The front enclosure is IP66 classified, which means that it is waterproof even when exposed to high pressure washing. The operator panel is configured with the user-friendly information Designer software tool.</w:t>
      </w:r>
    </w:p>
    <w:p w:rsidR="006360F2" w:rsidRDefault="00D13116" w:rsidP="00D13116">
      <w:pPr>
        <w:pStyle w:val="NormalWeb"/>
        <w:shd w:val="clear" w:color="auto" w:fill="FFFFFF"/>
        <w:rPr>
          <w:rFonts w:ascii="Verdana" w:hAnsi="Verdana" w:cs="Arial"/>
          <w:color w:val="7A7A7A"/>
          <w:sz w:val="15"/>
          <w:szCs w:val="15"/>
        </w:rPr>
      </w:pPr>
      <w:r>
        <w:rPr>
          <w:rFonts w:ascii="Verdana" w:hAnsi="Verdana" w:cs="Arial"/>
          <w:color w:val="7A7A7A"/>
          <w:sz w:val="15"/>
          <w:szCs w:val="15"/>
        </w:rPr>
        <w:t>The high-resolution TFT touch display ensures optimal viewing in all conditions and large viewing angles.</w:t>
      </w:r>
    </w:p>
    <w:p w:rsidR="006360F2" w:rsidRDefault="00D13116" w:rsidP="00D13116">
      <w:pPr>
        <w:pStyle w:val="NormalWeb"/>
        <w:shd w:val="clear" w:color="auto" w:fill="FFFFFF"/>
        <w:rPr>
          <w:rFonts w:ascii="Verdana" w:hAnsi="Verdana" w:cs="Arial"/>
          <w:color w:val="7A7A7A"/>
          <w:sz w:val="15"/>
          <w:szCs w:val="15"/>
        </w:rPr>
      </w:pPr>
      <w:r w:rsidRPr="006360F2">
        <w:rPr>
          <w:rStyle w:val="Strong"/>
          <w:rFonts w:ascii="Verdana" w:hAnsi="Verdana" w:cs="Arial"/>
          <w:color w:val="7A7A7A"/>
          <w:sz w:val="15"/>
          <w:szCs w:val="15"/>
          <w:u w:val="single"/>
        </w:rPr>
        <w:t>Optimal view with sun-readable displays</w:t>
      </w:r>
    </w:p>
    <w:p w:rsidR="00D13116" w:rsidRDefault="00D13116" w:rsidP="00D13116">
      <w:pPr>
        <w:pStyle w:val="NormalWeb"/>
        <w:shd w:val="clear" w:color="auto" w:fill="FFFFFF"/>
        <w:rPr>
          <w:rFonts w:ascii="Verdana" w:hAnsi="Verdana" w:cs="Arial"/>
          <w:color w:val="7A7A7A"/>
          <w:sz w:val="15"/>
          <w:szCs w:val="15"/>
        </w:rPr>
      </w:pPr>
      <w:r>
        <w:rPr>
          <w:rFonts w:ascii="Verdana" w:hAnsi="Verdana" w:cs="Arial"/>
          <w:color w:val="7A7A7A"/>
          <w:sz w:val="15"/>
          <w:szCs w:val="15"/>
        </w:rPr>
        <w:t>Unpred</w:t>
      </w:r>
      <w:r w:rsidR="006360F2">
        <w:rPr>
          <w:rFonts w:ascii="Verdana" w:hAnsi="Verdana" w:cs="Arial"/>
          <w:color w:val="7A7A7A"/>
          <w:sz w:val="15"/>
          <w:szCs w:val="15"/>
        </w:rPr>
        <w:t xml:space="preserve">ictable light conditions at sea </w:t>
      </w:r>
      <w:r>
        <w:rPr>
          <w:rFonts w:ascii="Verdana" w:hAnsi="Verdana" w:cs="Arial"/>
          <w:color w:val="7A7A7A"/>
          <w:sz w:val="15"/>
          <w:szCs w:val="15"/>
        </w:rPr>
        <w:t>often limit the effective visibility at operator panels. The EXTER sun-readable black panels make operational tasks easy. Regardless of dark night or in the glare of direct sunlight, the high resolution TFT</w:t>
      </w:r>
      <w:r w:rsidR="006360F2">
        <w:rPr>
          <w:rFonts w:ascii="Verdana" w:hAnsi="Verdana" w:cs="Arial"/>
          <w:color w:val="7A7A7A"/>
          <w:sz w:val="15"/>
          <w:szCs w:val="15"/>
        </w:rPr>
        <w:t xml:space="preserve"> </w:t>
      </w:r>
      <w:r>
        <w:rPr>
          <w:rFonts w:ascii="Verdana" w:hAnsi="Verdana" w:cs="Arial"/>
          <w:color w:val="7A7A7A"/>
          <w:sz w:val="15"/>
          <w:szCs w:val="15"/>
        </w:rPr>
        <w:t>displays ensure optimal viewing in all conditions.</w:t>
      </w:r>
      <w:r w:rsidR="006360F2">
        <w:rPr>
          <w:rFonts w:ascii="Verdana" w:hAnsi="Verdana" w:cs="Arial"/>
          <w:color w:val="7A7A7A"/>
          <w:sz w:val="15"/>
          <w:szCs w:val="15"/>
        </w:rPr>
        <w:t xml:space="preserve"> </w:t>
      </w:r>
      <w:r>
        <w:rPr>
          <w:rFonts w:ascii="Verdana" w:hAnsi="Verdana" w:cs="Arial"/>
          <w:color w:val="7A7A7A"/>
          <w:sz w:val="15"/>
          <w:szCs w:val="15"/>
        </w:rPr>
        <w:t>Specific filters help to absorb distracting sun reflections, and dimmable backlight preserves perfect night vision.</w:t>
      </w:r>
    </w:p>
    <w:p w:rsidR="006360F2" w:rsidRDefault="00D13116" w:rsidP="006360F2">
      <w:pPr>
        <w:numPr>
          <w:ilvl w:val="0"/>
          <w:numId w:val="1"/>
        </w:numPr>
        <w:ind w:left="225"/>
        <w:rPr>
          <w:rFonts w:ascii="Verdana" w:hAnsi="Verdana" w:cs="Arial"/>
          <w:b/>
          <w:bCs/>
          <w:color w:val="00AEEF"/>
          <w:sz w:val="15"/>
          <w:szCs w:val="15"/>
        </w:rPr>
      </w:pPr>
      <w:r w:rsidRPr="00D1311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24025" cy="1371600"/>
            <wp:effectExtent l="19050" t="0" r="9525" b="0"/>
            <wp:wrapSquare wrapText="bothSides"/>
            <wp:docPr id="16" name="Picture 5" descr="HMI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MI Pan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0F2">
        <w:rPr>
          <w:rFonts w:ascii="Verdana" w:hAnsi="Verdana" w:cs="Arial"/>
          <w:b/>
          <w:bCs/>
          <w:color w:val="00AEEF"/>
          <w:sz w:val="15"/>
          <w:szCs w:val="15"/>
        </w:rPr>
        <w:t xml:space="preserve">         &gt;Reliable resistive touch panel </w:t>
      </w:r>
    </w:p>
    <w:p w:rsidR="006360F2" w:rsidRDefault="006360F2" w:rsidP="006360F2">
      <w:pPr>
        <w:ind w:left="4320"/>
        <w:jc w:val="both"/>
        <w:rPr>
          <w:rFonts w:ascii="Verdana" w:hAnsi="Verdana" w:cs="Arial"/>
          <w:b/>
          <w:bCs/>
          <w:color w:val="00AEEF"/>
          <w:sz w:val="15"/>
          <w:szCs w:val="15"/>
        </w:rPr>
      </w:pPr>
    </w:p>
    <w:p w:rsidR="006360F2" w:rsidRPr="006360F2" w:rsidRDefault="006360F2" w:rsidP="006360F2">
      <w:pPr>
        <w:ind w:left="4320"/>
        <w:jc w:val="both"/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>&gt;</w:t>
      </w:r>
      <w:r w:rsidRPr="006360F2">
        <w:rPr>
          <w:rFonts w:ascii="Verdana" w:hAnsi="Verdana" w:cs="Arial"/>
          <w:b/>
          <w:bCs/>
          <w:color w:val="00AEEF"/>
          <w:sz w:val="15"/>
          <w:szCs w:val="15"/>
        </w:rPr>
        <w:t xml:space="preserve">Clear high-resolution screens with high level of detail on </w:t>
      </w: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                                      I</w:t>
      </w:r>
      <w:r w:rsidRPr="006360F2">
        <w:rPr>
          <w:rFonts w:ascii="Verdana" w:hAnsi="Verdana" w:cs="Arial"/>
          <w:b/>
          <w:bCs/>
          <w:color w:val="00AEEF"/>
          <w:sz w:val="15"/>
          <w:szCs w:val="15"/>
        </w:rPr>
        <w:t>mages, charts, meters and alarms</w:t>
      </w:r>
    </w:p>
    <w:p w:rsidR="006360F2" w:rsidRDefault="006360F2" w:rsidP="006360F2">
      <w:pPr>
        <w:ind w:left="4320" w:firstLine="15"/>
        <w:rPr>
          <w:rFonts w:ascii="Verdana" w:hAnsi="Verdana" w:cs="Arial"/>
          <w:b/>
          <w:bCs/>
          <w:color w:val="00AEEF"/>
          <w:sz w:val="15"/>
          <w:szCs w:val="15"/>
        </w:rPr>
      </w:pPr>
    </w:p>
    <w:p w:rsidR="006360F2" w:rsidRDefault="006360F2" w:rsidP="006360F2">
      <w:pPr>
        <w:ind w:left="4320" w:firstLine="15"/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&gt;Sun-readable models fully operable even in glare of   direct sunlight </w:t>
      </w:r>
    </w:p>
    <w:p w:rsidR="006360F2" w:rsidRDefault="006360F2" w:rsidP="006360F2">
      <w:pPr>
        <w:ind w:left="225"/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   </w:t>
      </w:r>
      <w:r>
        <w:rPr>
          <w:rFonts w:ascii="Verdana" w:hAnsi="Verdana" w:cs="Arial"/>
          <w:b/>
          <w:bCs/>
          <w:color w:val="00AEEF"/>
          <w:sz w:val="15"/>
          <w:szCs w:val="15"/>
        </w:rPr>
        <w:tab/>
        <w:t xml:space="preserve">         </w:t>
      </w:r>
    </w:p>
    <w:p w:rsidR="006360F2" w:rsidRDefault="006360F2" w:rsidP="006360F2">
      <w:pPr>
        <w:ind w:left="1665" w:firstLine="495"/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             &gt;Dimmable backlight preserves optimal night vision </w:t>
      </w:r>
    </w:p>
    <w:p w:rsidR="006360F2" w:rsidRDefault="006360F2" w:rsidP="006360F2"/>
    <w:p w:rsidR="006360F2" w:rsidRDefault="006360F2" w:rsidP="006360F2"/>
    <w:p w:rsidR="00D13116" w:rsidRPr="006360F2" w:rsidRDefault="006360F2" w:rsidP="006360F2"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&gt; </w:t>
      </w:r>
      <w:r w:rsidR="00D13116" w:rsidRPr="006360F2">
        <w:rPr>
          <w:rFonts w:ascii="Verdana" w:hAnsi="Verdana" w:cs="Arial"/>
          <w:b/>
          <w:bCs/>
          <w:color w:val="00AEEF"/>
          <w:sz w:val="15"/>
          <w:szCs w:val="15"/>
        </w:rPr>
        <w:t xml:space="preserve">Appealing black design with powder-coated aluminum </w:t>
      </w:r>
    </w:p>
    <w:p w:rsidR="006360F2" w:rsidRDefault="006360F2" w:rsidP="006360F2">
      <w:pPr>
        <w:rPr>
          <w:rFonts w:ascii="Verdana" w:hAnsi="Verdana" w:cs="Arial"/>
          <w:b/>
          <w:bCs/>
          <w:color w:val="00AEEF"/>
          <w:sz w:val="15"/>
          <w:szCs w:val="15"/>
        </w:rPr>
      </w:pPr>
    </w:p>
    <w:p w:rsidR="00D13116" w:rsidRDefault="006360F2" w:rsidP="006360F2">
      <w:pPr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&gt; </w:t>
      </w:r>
      <w:r w:rsidR="00D13116">
        <w:rPr>
          <w:rFonts w:ascii="Verdana" w:hAnsi="Verdana" w:cs="Arial"/>
          <w:b/>
          <w:bCs/>
          <w:color w:val="00AEEF"/>
          <w:sz w:val="15"/>
          <w:szCs w:val="15"/>
        </w:rPr>
        <w:t xml:space="preserve">IP66-classified front resistant to dust and high pressure water jets </w:t>
      </w:r>
    </w:p>
    <w:p w:rsidR="006360F2" w:rsidRDefault="006360F2" w:rsidP="006360F2">
      <w:pPr>
        <w:rPr>
          <w:rFonts w:ascii="Verdana" w:hAnsi="Verdana" w:cs="Arial"/>
          <w:b/>
          <w:bCs/>
          <w:color w:val="00AEEF"/>
          <w:sz w:val="15"/>
          <w:szCs w:val="15"/>
        </w:rPr>
      </w:pPr>
    </w:p>
    <w:p w:rsidR="00D13116" w:rsidRDefault="006360F2" w:rsidP="006360F2">
      <w:pPr>
        <w:rPr>
          <w:rFonts w:ascii="Verdana" w:hAnsi="Verdana" w:cs="Arial"/>
          <w:b/>
          <w:bCs/>
          <w:color w:val="00AEEF"/>
          <w:sz w:val="15"/>
          <w:szCs w:val="15"/>
        </w:rPr>
      </w:pPr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&gt; </w:t>
      </w:r>
      <w:r w:rsidR="00D13116">
        <w:rPr>
          <w:rFonts w:ascii="Verdana" w:hAnsi="Verdana" w:cs="Arial"/>
          <w:b/>
          <w:bCs/>
          <w:color w:val="00AEEF"/>
          <w:sz w:val="15"/>
          <w:szCs w:val="15"/>
        </w:rPr>
        <w:t xml:space="preserve">Rugged and reliable design for the specifics of maritime requirements </w:t>
      </w:r>
    </w:p>
    <w:p w:rsidR="006360F2" w:rsidRDefault="006360F2" w:rsidP="006360F2">
      <w:pPr>
        <w:rPr>
          <w:rFonts w:ascii="Verdana" w:hAnsi="Verdana" w:cs="Arial"/>
          <w:b/>
          <w:bCs/>
          <w:color w:val="00AEEF"/>
          <w:sz w:val="15"/>
          <w:szCs w:val="15"/>
        </w:rPr>
      </w:pPr>
    </w:p>
    <w:p w:rsidR="00EB0E0C" w:rsidRPr="00D13116" w:rsidRDefault="006360F2" w:rsidP="006360F2">
      <w:r>
        <w:rPr>
          <w:rFonts w:ascii="Verdana" w:hAnsi="Verdana" w:cs="Arial"/>
          <w:b/>
          <w:bCs/>
          <w:color w:val="00AEEF"/>
          <w:sz w:val="15"/>
          <w:szCs w:val="15"/>
        </w:rPr>
        <w:t xml:space="preserve">&gt; </w:t>
      </w:r>
      <w:r w:rsidR="00D13116">
        <w:rPr>
          <w:rFonts w:ascii="Verdana" w:hAnsi="Verdana" w:cs="Arial"/>
          <w:b/>
          <w:bCs/>
          <w:color w:val="00AEEF"/>
          <w:sz w:val="15"/>
          <w:szCs w:val="15"/>
        </w:rPr>
        <w:t>Various certifications for major classification societies</w:t>
      </w:r>
    </w:p>
    <w:sectPr w:rsidR="00EB0E0C" w:rsidRPr="00D13116" w:rsidSect="00904A59">
      <w:headerReference w:type="first" r:id="rId9"/>
      <w:footerReference w:type="first" r:id="rId10"/>
      <w:pgSz w:w="12240" w:h="15840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8D" w:rsidRDefault="00E9678D">
      <w:r>
        <w:separator/>
      </w:r>
    </w:p>
  </w:endnote>
  <w:endnote w:type="continuationSeparator" w:id="0">
    <w:p w:rsidR="00E9678D" w:rsidRDefault="00E9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C2" w:rsidRDefault="00847EC2" w:rsidP="00B621B2">
    <w:pPr>
      <w:pStyle w:val="Footer"/>
      <w:jc w:val="center"/>
      <w:rPr>
        <w:b/>
        <w:color w:val="333399"/>
      </w:rPr>
    </w:pPr>
  </w:p>
  <w:p w:rsidR="00D4796C" w:rsidRDefault="00F80588" w:rsidP="00D4796C">
    <w:pPr>
      <w:pStyle w:val="Footer"/>
      <w:jc w:val="center"/>
      <w:rPr>
        <w:b/>
        <w:color w:val="333399"/>
      </w:rPr>
    </w:pPr>
    <w:r>
      <w:rPr>
        <w:b/>
        <w:noProof/>
        <w:color w:val="333399"/>
        <w:lang w:val="en-GB" w:eastAsia="en-GB"/>
      </w:rPr>
      <w:drawing>
        <wp:inline distT="0" distB="0" distL="0" distR="0">
          <wp:extent cx="619125" cy="647700"/>
          <wp:effectExtent l="19050" t="0" r="9525" b="0"/>
          <wp:docPr id="1" name="Picture 1" descr="f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796C" w:rsidRDefault="00D4796C" w:rsidP="00D4796C">
    <w:pPr>
      <w:pStyle w:val="Footer"/>
      <w:jc w:val="center"/>
      <w:rPr>
        <w:b/>
        <w:color w:val="333399"/>
      </w:rPr>
    </w:pPr>
  </w:p>
  <w:p w:rsidR="00B621B2" w:rsidRDefault="00162219" w:rsidP="00B621B2">
    <w:pPr>
      <w:pStyle w:val="Footer"/>
      <w:jc w:val="center"/>
      <w:rPr>
        <w:b/>
        <w:color w:val="333399"/>
      </w:rPr>
    </w:pPr>
    <w:r>
      <w:rPr>
        <w:b/>
        <w:color w:val="333399"/>
      </w:rPr>
      <w:t>FISONS HOUSE, 159 PRINCES STREET, IPSWICH, SUFFOLK, IP1 1QJ</w:t>
    </w:r>
  </w:p>
  <w:p w:rsidR="00B621B2" w:rsidRDefault="008C61ED" w:rsidP="00B621B2">
    <w:pPr>
      <w:pStyle w:val="Footer"/>
      <w:jc w:val="center"/>
      <w:rPr>
        <w:b/>
        <w:color w:val="333399"/>
      </w:rPr>
    </w:pPr>
    <w:r>
      <w:rPr>
        <w:b/>
        <w:color w:val="333399"/>
      </w:rPr>
      <w:t>TEL</w:t>
    </w:r>
    <w:r w:rsidR="00162219">
      <w:rPr>
        <w:b/>
        <w:color w:val="333399"/>
      </w:rPr>
      <w:t xml:space="preserve"> +44 (0)1473 381440</w:t>
    </w:r>
    <w:r>
      <w:rPr>
        <w:b/>
        <w:color w:val="333399"/>
      </w:rPr>
      <w:t xml:space="preserve"> FAX +44 (0)1473 </w:t>
    </w:r>
    <w:r w:rsidR="00BC445F">
      <w:rPr>
        <w:b/>
        <w:color w:val="333399"/>
      </w:rPr>
      <w:t>381401/</w:t>
    </w:r>
    <w:r>
      <w:rPr>
        <w:b/>
        <w:color w:val="333399"/>
      </w:rPr>
      <w:t>463084</w:t>
    </w:r>
  </w:p>
  <w:p w:rsidR="00B621B2" w:rsidRDefault="00B621B2" w:rsidP="00847EC2">
    <w:pPr>
      <w:pStyle w:val="Footer"/>
      <w:jc w:val="center"/>
      <w:rPr>
        <w:b/>
        <w:color w:val="333399"/>
        <w:sz w:val="20"/>
        <w:szCs w:val="20"/>
      </w:rPr>
    </w:pPr>
    <w:r>
      <w:rPr>
        <w:b/>
        <w:color w:val="333399"/>
        <w:sz w:val="20"/>
        <w:szCs w:val="20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b/>
            <w:color w:val="333399"/>
            <w:sz w:val="20"/>
            <w:szCs w:val="20"/>
          </w:rPr>
          <w:t>England</w:t>
        </w:r>
      </w:smartTag>
    </w:smartTag>
    <w:r>
      <w:rPr>
        <w:b/>
        <w:color w:val="333399"/>
        <w:sz w:val="20"/>
        <w:szCs w:val="20"/>
      </w:rPr>
      <w:t xml:space="preserve"> No. 2787731. VAT No. 740 7920 33</w:t>
    </w:r>
  </w:p>
  <w:p w:rsidR="00B621B2" w:rsidRPr="00BA4D31" w:rsidRDefault="00B621B2" w:rsidP="00847EC2">
    <w:pPr>
      <w:pStyle w:val="Footer"/>
      <w:jc w:val="center"/>
      <w:rPr>
        <w:b/>
        <w:color w:val="333399"/>
        <w:sz w:val="20"/>
        <w:szCs w:val="20"/>
      </w:rPr>
    </w:pPr>
    <w:r>
      <w:rPr>
        <w:b/>
        <w:color w:val="333399"/>
        <w:sz w:val="20"/>
        <w:szCs w:val="20"/>
      </w:rPr>
      <w:t>Directo</w:t>
    </w:r>
    <w:r w:rsidR="00EC5EBB">
      <w:rPr>
        <w:b/>
        <w:color w:val="333399"/>
        <w:sz w:val="20"/>
        <w:szCs w:val="20"/>
      </w:rPr>
      <w:t xml:space="preserve">rs </w:t>
    </w:r>
    <w:proofErr w:type="spellStart"/>
    <w:proofErr w:type="gramStart"/>
    <w:r w:rsidR="00EC5EBB">
      <w:rPr>
        <w:b/>
        <w:color w:val="333399"/>
        <w:sz w:val="20"/>
        <w:szCs w:val="20"/>
      </w:rPr>
      <w:t>S.W.Broughton</w:t>
    </w:r>
    <w:proofErr w:type="spellEnd"/>
    <w:r w:rsidR="00EC5EBB">
      <w:rPr>
        <w:b/>
        <w:color w:val="333399"/>
        <w:sz w:val="20"/>
        <w:szCs w:val="20"/>
      </w:rPr>
      <w:t xml:space="preserve"> </w:t>
    </w:r>
    <w:r w:rsidR="00744C14">
      <w:rPr>
        <w:b/>
        <w:color w:val="333399"/>
        <w:sz w:val="20"/>
        <w:szCs w:val="20"/>
      </w:rPr>
      <w:t>,</w:t>
    </w:r>
    <w:proofErr w:type="gramEnd"/>
    <w:r w:rsidR="00744C14">
      <w:rPr>
        <w:b/>
        <w:color w:val="333399"/>
        <w:sz w:val="20"/>
        <w:szCs w:val="20"/>
      </w:rPr>
      <w:t xml:space="preserve"> </w:t>
    </w:r>
    <w:proofErr w:type="spellStart"/>
    <w:r w:rsidR="00744C14">
      <w:rPr>
        <w:b/>
        <w:color w:val="333399"/>
        <w:sz w:val="20"/>
        <w:szCs w:val="20"/>
      </w:rPr>
      <w:t>M.V.Broughton</w:t>
    </w:r>
    <w:proofErr w:type="spellEnd"/>
    <w:r w:rsidR="00744C14">
      <w:rPr>
        <w:b/>
        <w:color w:val="333399"/>
        <w:sz w:val="20"/>
        <w:szCs w:val="20"/>
      </w:rPr>
      <w:t xml:space="preserve"> &amp; </w:t>
    </w:r>
    <w:proofErr w:type="spellStart"/>
    <w:r w:rsidR="00744C14">
      <w:rPr>
        <w:b/>
        <w:color w:val="333399"/>
        <w:sz w:val="20"/>
        <w:szCs w:val="20"/>
      </w:rPr>
      <w:t>A.J.S.Broughton</w:t>
    </w:r>
    <w:proofErr w:type="spellEnd"/>
  </w:p>
  <w:p w:rsidR="00B621B2" w:rsidRDefault="00B621B2" w:rsidP="00847EC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8D" w:rsidRDefault="00E9678D">
      <w:r>
        <w:separator/>
      </w:r>
    </w:p>
  </w:footnote>
  <w:footnote w:type="continuationSeparator" w:id="0">
    <w:p w:rsidR="00E9678D" w:rsidRDefault="00E9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59" w:rsidRDefault="00B621B2" w:rsidP="00B621B2">
    <w:pPr>
      <w:pStyle w:val="Header"/>
      <w:jc w:val="center"/>
      <w:rPr>
        <w:b/>
        <w:color w:val="333399"/>
        <w:sz w:val="48"/>
        <w:szCs w:val="48"/>
      </w:rPr>
    </w:pPr>
    <w:r w:rsidRPr="00C00AE0">
      <w:rPr>
        <w:b/>
        <w:color w:val="333399"/>
        <w:sz w:val="48"/>
        <w:szCs w:val="48"/>
      </w:rPr>
      <w:t xml:space="preserve">KCG-ELECTRONICS </w:t>
    </w:r>
    <w:r w:rsidR="00EC5EBB">
      <w:rPr>
        <w:b/>
        <w:color w:val="333399"/>
        <w:sz w:val="48"/>
        <w:szCs w:val="48"/>
      </w:rPr>
      <w:t>(Ipswich</w:t>
    </w:r>
    <w:proofErr w:type="gramStart"/>
    <w:r w:rsidR="00EC5EBB">
      <w:rPr>
        <w:b/>
        <w:color w:val="333399"/>
        <w:sz w:val="48"/>
        <w:szCs w:val="48"/>
      </w:rPr>
      <w:t>)L</w:t>
    </w:r>
    <w:r w:rsidR="00904A59">
      <w:rPr>
        <w:b/>
        <w:color w:val="333399"/>
        <w:sz w:val="48"/>
        <w:szCs w:val="48"/>
      </w:rPr>
      <w:t>TD</w:t>
    </w:r>
    <w:proofErr w:type="gramEnd"/>
    <w:r w:rsidR="00EC5EBB">
      <w:rPr>
        <w:b/>
        <w:color w:val="333399"/>
        <w:sz w:val="48"/>
        <w:szCs w:val="48"/>
      </w:rPr>
      <w:t>.</w:t>
    </w:r>
  </w:p>
  <w:p w:rsidR="00B621B2" w:rsidRPr="00904A59" w:rsidRDefault="00904A59" w:rsidP="00B621B2">
    <w:pPr>
      <w:pStyle w:val="Header"/>
      <w:jc w:val="center"/>
      <w:rPr>
        <w:rFonts w:ascii="Algerian" w:hAnsi="Algerian"/>
        <w:b/>
        <w:color w:val="333399"/>
        <w:sz w:val="16"/>
        <w:szCs w:val="16"/>
        <w:u w:val="single"/>
      </w:rPr>
    </w:pPr>
    <w:r w:rsidRPr="00904A59">
      <w:rPr>
        <w:rFonts w:ascii="Algerian" w:hAnsi="Algerian"/>
        <w:b/>
        <w:i/>
        <w:color w:val="333399"/>
        <w:sz w:val="16"/>
        <w:szCs w:val="16"/>
        <w:u w:val="single"/>
      </w:rPr>
      <w:t>THE POWER TO DELIVER TOMORROWS TECHNOLOGY</w:t>
    </w:r>
    <w:r w:rsidR="002C2DAB" w:rsidRPr="00904A59">
      <w:rPr>
        <w:rFonts w:ascii="Algerian" w:hAnsi="Algerian"/>
        <w:b/>
        <w:color w:val="333399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>
    <w:nsid w:val="65C210C1"/>
    <w:multiLevelType w:val="multilevel"/>
    <w:tmpl w:val="C346CDA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A4B"/>
    <w:rsid w:val="0002095B"/>
    <w:rsid w:val="00145922"/>
    <w:rsid w:val="00162219"/>
    <w:rsid w:val="001F2487"/>
    <w:rsid w:val="00232A4B"/>
    <w:rsid w:val="002C2DAB"/>
    <w:rsid w:val="00325DD5"/>
    <w:rsid w:val="003D00D6"/>
    <w:rsid w:val="003D40C1"/>
    <w:rsid w:val="00440E19"/>
    <w:rsid w:val="004D73B6"/>
    <w:rsid w:val="005238BA"/>
    <w:rsid w:val="00550837"/>
    <w:rsid w:val="005712BA"/>
    <w:rsid w:val="0057306E"/>
    <w:rsid w:val="005D1AE8"/>
    <w:rsid w:val="006360F2"/>
    <w:rsid w:val="00644157"/>
    <w:rsid w:val="00645528"/>
    <w:rsid w:val="0070370D"/>
    <w:rsid w:val="00717D22"/>
    <w:rsid w:val="00741992"/>
    <w:rsid w:val="00744C14"/>
    <w:rsid w:val="007B12E1"/>
    <w:rsid w:val="00847EC2"/>
    <w:rsid w:val="008B6795"/>
    <w:rsid w:val="008B6B97"/>
    <w:rsid w:val="008C61ED"/>
    <w:rsid w:val="008E3E8E"/>
    <w:rsid w:val="00904A59"/>
    <w:rsid w:val="00962C69"/>
    <w:rsid w:val="00A440BB"/>
    <w:rsid w:val="00A95C4C"/>
    <w:rsid w:val="00AE01D6"/>
    <w:rsid w:val="00B621B2"/>
    <w:rsid w:val="00BA4D31"/>
    <w:rsid w:val="00BC445F"/>
    <w:rsid w:val="00C00AE0"/>
    <w:rsid w:val="00C91A72"/>
    <w:rsid w:val="00D13116"/>
    <w:rsid w:val="00D4796C"/>
    <w:rsid w:val="00D739C0"/>
    <w:rsid w:val="00DA0256"/>
    <w:rsid w:val="00E32282"/>
    <w:rsid w:val="00E51F28"/>
    <w:rsid w:val="00E9678D"/>
    <w:rsid w:val="00EB0E0C"/>
    <w:rsid w:val="00EB2C8E"/>
    <w:rsid w:val="00EC5EBB"/>
    <w:rsid w:val="00F8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4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D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621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5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04A59"/>
    <w:pPr>
      <w:spacing w:after="150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D13116"/>
    <w:rPr>
      <w:b/>
      <w:bCs/>
    </w:rPr>
  </w:style>
  <w:style w:type="paragraph" w:styleId="ListParagraph">
    <w:name w:val="List Paragraph"/>
    <w:basedOn w:val="Normal"/>
    <w:uiPriority w:val="34"/>
    <w:qFormat/>
    <w:rsid w:val="00636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59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329">
              <w:marLeft w:val="0"/>
              <w:marRight w:val="0"/>
              <w:marTop w:val="105"/>
              <w:marBottom w:val="150"/>
              <w:divBdr>
                <w:top w:val="single" w:sz="6" w:space="16" w:color="C8C8C8"/>
                <w:left w:val="single" w:sz="6" w:space="18" w:color="C8C8C8"/>
                <w:bottom w:val="single" w:sz="6" w:space="16" w:color="C8C8C8"/>
                <w:right w:val="single" w:sz="6" w:space="18" w:color="C8C8C8"/>
              </w:divBdr>
            </w:div>
          </w:divsChild>
        </w:div>
      </w:divsChild>
    </w:div>
    <w:div w:id="123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Andrew</cp:lastModifiedBy>
  <cp:revision>2</cp:revision>
  <dcterms:created xsi:type="dcterms:W3CDTF">2010-12-09T15:12:00Z</dcterms:created>
  <dcterms:modified xsi:type="dcterms:W3CDTF">2010-12-09T15:12:00Z</dcterms:modified>
</cp:coreProperties>
</file>