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1B2" w:rsidRDefault="00B621B2" w:rsidP="00904A59">
      <w:pPr>
        <w:jc w:val="center"/>
      </w:pPr>
    </w:p>
    <w:p w:rsidR="00EB0E0C" w:rsidRDefault="00904A59" w:rsidP="00847EC2">
      <w:pPr>
        <w:jc w:val="center"/>
      </w:pPr>
      <w:r>
        <w:rPr>
          <w:noProof/>
          <w:lang w:val="en-GB" w:eastAsia="en-GB"/>
        </w:rPr>
        <w:drawing>
          <wp:inline distT="0" distB="0" distL="0" distR="0">
            <wp:extent cx="1428750" cy="1428750"/>
            <wp:effectExtent l="19050" t="0" r="0" b="0"/>
            <wp:docPr id="3" name="Picture 1" descr="C:\Users\Steve\Desktop\kcgelectronics_rgb1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Desktop\kcgelectronics_rgb150px.jpg"/>
                    <pic:cNvPicPr>
                      <a:picLocks noChangeAspect="1" noChangeArrowheads="1"/>
                    </pic:cNvPicPr>
                  </pic:nvPicPr>
                  <pic:blipFill>
                    <a:blip r:embed="rId6" cstate="print"/>
                    <a:srcRect/>
                    <a:stretch>
                      <a:fillRect/>
                    </a:stretch>
                  </pic:blipFill>
                  <pic:spPr bwMode="auto">
                    <a:xfrm>
                      <a:off x="0" y="0"/>
                      <a:ext cx="1428750" cy="1428750"/>
                    </a:xfrm>
                    <a:prstGeom prst="rect">
                      <a:avLst/>
                    </a:prstGeom>
                    <a:noFill/>
                    <a:ln w="9525">
                      <a:noFill/>
                      <a:miter lim="800000"/>
                      <a:headEnd/>
                      <a:tailEnd/>
                    </a:ln>
                  </pic:spPr>
                </pic:pic>
              </a:graphicData>
            </a:graphic>
          </wp:inline>
        </w:drawing>
      </w:r>
    </w:p>
    <w:p w:rsidR="00DA0256" w:rsidRDefault="00DA0256" w:rsidP="00847EC2">
      <w:pPr>
        <w:jc w:val="center"/>
      </w:pP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The engine controller has been especially designed for use in marine applications, but can be used with land based engines as well.  Typical applications are auxiliary diesel generators, emergency generators, harbour generators, diesel driven pumps, compressors, etc.</w:t>
      </w: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The M2500 provides the complete solution within a compact flush-mounted module - it is not a complicated system consisting of a control panel and a selection of external DIN-rail mounted expansion cards. Likewise the M2500 does not require a PC for configuration. Connectivity is provided by modern technology, such as USB and SD-cards - not RS232.</w:t>
      </w: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 xml:space="preserve">The control and protection functions of the M2500 work in such a way that they comply </w:t>
      </w:r>
      <w:r>
        <w:rPr>
          <w:rFonts w:ascii="Verdana" w:hAnsi="Verdana" w:cs="Arial"/>
          <w:color w:val="7A7A7A"/>
          <w:sz w:val="15"/>
          <w:szCs w:val="15"/>
          <w:u w:val="single"/>
        </w:rPr>
        <w:t>fully</w:t>
      </w:r>
      <w:r>
        <w:rPr>
          <w:rFonts w:ascii="Verdana" w:hAnsi="Verdana" w:cs="Arial"/>
          <w:color w:val="7A7A7A"/>
          <w:sz w:val="15"/>
          <w:szCs w:val="15"/>
        </w:rPr>
        <w:t xml:space="preserve"> with even the strictest requirements of the marine certification authorities (DNV, LR, GL etc). Thus, the M2500 provides a competitive and cost effective solution for control and protection of marine based generators and off-shore fire fighting pumps.</w:t>
      </w: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The M2500 allows manual (local) and remote (automatic) start and stop of the engine. Monitoring of all engine parameters is provided, either through discrete digital/analogue sensors and/or through the on-board SAE J1939 CAN bus connection. Protection in combination with an optional and 100% redundant shut-down module provides maximum safety for marine applications.</w:t>
      </w: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The front plate of the M2500 is IP54 tight. A large back-lit blue graphical display provides gauge based monitoring of selected parameters such as RPM, oil pressure, water temperature, etc. The LCD can also show parameter lists, diagnostic data and event and alarm logs with date and time. The operational state of the engine is clearly indicated on front plate LED’s. A symbolic keyboard provides one-push easy access to operational information, as well as on-site configuration (PC configuration tool is not required). The configuration can be protected by a pin code.</w:t>
      </w: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 xml:space="preserve">All inputs and outputs are provided on-board – there is no need for expansion cards with relays, etc. (although it is an option). The M2500 provides 9 programmable digital inputs (all with cable monitoring for both break and short) and 8 analogue inputs (4-20 </w:t>
      </w:r>
      <w:proofErr w:type="spellStart"/>
      <w:r>
        <w:rPr>
          <w:rFonts w:ascii="Verdana" w:hAnsi="Verdana" w:cs="Arial"/>
          <w:color w:val="7A7A7A"/>
          <w:sz w:val="15"/>
          <w:szCs w:val="15"/>
        </w:rPr>
        <w:t>mA</w:t>
      </w:r>
      <w:proofErr w:type="spellEnd"/>
      <w:r>
        <w:rPr>
          <w:rFonts w:ascii="Verdana" w:hAnsi="Verdana" w:cs="Arial"/>
          <w:color w:val="7A7A7A"/>
          <w:sz w:val="15"/>
          <w:szCs w:val="15"/>
        </w:rPr>
        <w:t xml:space="preserve">). All inputs can be freely configured for monitoring, alarm, and/or shut-down. All outputs are provided as potential free relays, including the 12 programmable group outputs. Shut-down outputs have cable monitoring. Exhaust gas monitoring is possible, if required. </w:t>
      </w:r>
    </w:p>
    <w:p w:rsidR="00DA0256" w:rsidRDefault="00DA0256" w:rsidP="00DA0256">
      <w:pPr>
        <w:pStyle w:val="NormalWeb"/>
        <w:rPr>
          <w:rFonts w:ascii="Verdana" w:hAnsi="Verdana" w:cs="Arial"/>
          <w:color w:val="7A7A7A"/>
          <w:sz w:val="15"/>
          <w:szCs w:val="15"/>
        </w:rPr>
      </w:pPr>
      <w:r>
        <w:rPr>
          <w:rFonts w:ascii="Verdana" w:hAnsi="Verdana" w:cs="Arial"/>
          <w:color w:val="7A7A7A"/>
          <w:sz w:val="15"/>
          <w:szCs w:val="15"/>
        </w:rPr>
        <w:t>Real-time logging of events and alarms can be done to a built-in memory card (SD-card) with up to 4 GB of storage. Remote configuration is possible through the on-board RS232 or USB connection using a standard web browser (Microsoft Internet Explorer). RS485 MODBUS RTU is available for SCADA connectivity.</w:t>
      </w:r>
    </w:p>
    <w:p w:rsidR="00EB0E0C" w:rsidRPr="00DA0256" w:rsidRDefault="00DA0256" w:rsidP="00DA0256">
      <w:pPr>
        <w:ind w:firstLine="720"/>
        <w:jc w:val="center"/>
      </w:pPr>
      <w:r w:rsidRPr="00DA0256">
        <w:drawing>
          <wp:inline distT="0" distB="0" distL="0" distR="0">
            <wp:extent cx="3019425" cy="1310211"/>
            <wp:effectExtent l="19050" t="0" r="9525" b="0"/>
            <wp:docPr id="14" name="Picture 3" descr="M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2500"/>
                    <pic:cNvPicPr>
                      <a:picLocks noChangeAspect="1" noChangeArrowheads="1"/>
                    </pic:cNvPicPr>
                  </pic:nvPicPr>
                  <pic:blipFill>
                    <a:blip r:embed="rId7" cstate="print"/>
                    <a:srcRect/>
                    <a:stretch>
                      <a:fillRect/>
                    </a:stretch>
                  </pic:blipFill>
                  <pic:spPr bwMode="auto">
                    <a:xfrm>
                      <a:off x="0" y="0"/>
                      <a:ext cx="3019702" cy="1310331"/>
                    </a:xfrm>
                    <a:prstGeom prst="rect">
                      <a:avLst/>
                    </a:prstGeom>
                    <a:noFill/>
                    <a:ln w="9525">
                      <a:noFill/>
                      <a:miter lim="800000"/>
                      <a:headEnd/>
                      <a:tailEnd/>
                    </a:ln>
                  </pic:spPr>
                </pic:pic>
              </a:graphicData>
            </a:graphic>
          </wp:inline>
        </w:drawing>
      </w:r>
    </w:p>
    <w:sectPr w:rsidR="00EB0E0C" w:rsidRPr="00DA0256" w:rsidSect="00904A59">
      <w:headerReference w:type="first" r:id="rId8"/>
      <w:footerReference w:type="first" r:id="rId9"/>
      <w:pgSz w:w="12240" w:h="15840"/>
      <w:pgMar w:top="1440" w:right="1440" w:bottom="1440" w:left="1440"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04" w:rsidRDefault="00391504">
      <w:r>
        <w:separator/>
      </w:r>
    </w:p>
  </w:endnote>
  <w:endnote w:type="continuationSeparator" w:id="0">
    <w:p w:rsidR="00391504" w:rsidRDefault="003915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EC2" w:rsidRDefault="00847EC2" w:rsidP="00B621B2">
    <w:pPr>
      <w:pStyle w:val="Footer"/>
      <w:jc w:val="center"/>
      <w:rPr>
        <w:b/>
        <w:color w:val="333399"/>
      </w:rPr>
    </w:pPr>
  </w:p>
  <w:p w:rsidR="00D4796C" w:rsidRDefault="00F80588" w:rsidP="00D4796C">
    <w:pPr>
      <w:pStyle w:val="Footer"/>
      <w:jc w:val="center"/>
      <w:rPr>
        <w:b/>
        <w:color w:val="333399"/>
      </w:rPr>
    </w:pPr>
    <w:r>
      <w:rPr>
        <w:b/>
        <w:noProof/>
        <w:color w:val="333399"/>
        <w:lang w:val="en-GB" w:eastAsia="en-GB"/>
      </w:rPr>
      <w:drawing>
        <wp:inline distT="0" distB="0" distL="0" distR="0">
          <wp:extent cx="619125" cy="647700"/>
          <wp:effectExtent l="19050" t="0" r="9525" b="0"/>
          <wp:docPr id="1" name="Picture 1" descr="f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b logo"/>
                  <pic:cNvPicPr>
                    <a:picLocks noChangeAspect="1" noChangeArrowheads="1"/>
                  </pic:cNvPicPr>
                </pic:nvPicPr>
                <pic:blipFill>
                  <a:blip r:embed="rId1"/>
                  <a:srcRect/>
                  <a:stretch>
                    <a:fillRect/>
                  </a:stretch>
                </pic:blipFill>
                <pic:spPr bwMode="auto">
                  <a:xfrm>
                    <a:off x="0" y="0"/>
                    <a:ext cx="619125" cy="647700"/>
                  </a:xfrm>
                  <a:prstGeom prst="rect">
                    <a:avLst/>
                  </a:prstGeom>
                  <a:noFill/>
                  <a:ln w="9525">
                    <a:noFill/>
                    <a:miter lim="800000"/>
                    <a:headEnd/>
                    <a:tailEnd/>
                  </a:ln>
                </pic:spPr>
              </pic:pic>
            </a:graphicData>
          </a:graphic>
        </wp:inline>
      </w:drawing>
    </w:r>
  </w:p>
  <w:p w:rsidR="00D4796C" w:rsidRDefault="00D4796C" w:rsidP="00D4796C">
    <w:pPr>
      <w:pStyle w:val="Footer"/>
      <w:jc w:val="center"/>
      <w:rPr>
        <w:b/>
        <w:color w:val="333399"/>
      </w:rPr>
    </w:pPr>
  </w:p>
  <w:p w:rsidR="00B621B2" w:rsidRDefault="00162219" w:rsidP="00B621B2">
    <w:pPr>
      <w:pStyle w:val="Footer"/>
      <w:jc w:val="center"/>
      <w:rPr>
        <w:b/>
        <w:color w:val="333399"/>
      </w:rPr>
    </w:pPr>
    <w:r>
      <w:rPr>
        <w:b/>
        <w:color w:val="333399"/>
      </w:rPr>
      <w:t>FISONS HOUSE, 159 PRINCES STREET, IPSWICH, SUFFOLK, IP1 1QJ</w:t>
    </w:r>
  </w:p>
  <w:p w:rsidR="00B621B2" w:rsidRDefault="008C61ED" w:rsidP="00B621B2">
    <w:pPr>
      <w:pStyle w:val="Footer"/>
      <w:jc w:val="center"/>
      <w:rPr>
        <w:b/>
        <w:color w:val="333399"/>
      </w:rPr>
    </w:pPr>
    <w:r>
      <w:rPr>
        <w:b/>
        <w:color w:val="333399"/>
      </w:rPr>
      <w:t>TEL</w:t>
    </w:r>
    <w:r w:rsidR="00162219">
      <w:rPr>
        <w:b/>
        <w:color w:val="333399"/>
      </w:rPr>
      <w:t xml:space="preserve"> +44 (0)1473 381440</w:t>
    </w:r>
    <w:r>
      <w:rPr>
        <w:b/>
        <w:color w:val="333399"/>
      </w:rPr>
      <w:t xml:space="preserve"> FAX +44 (0)1473 </w:t>
    </w:r>
    <w:r w:rsidR="00BC445F">
      <w:rPr>
        <w:b/>
        <w:color w:val="333399"/>
      </w:rPr>
      <w:t>381401/</w:t>
    </w:r>
    <w:r>
      <w:rPr>
        <w:b/>
        <w:color w:val="333399"/>
      </w:rPr>
      <w:t>463084</w:t>
    </w:r>
  </w:p>
  <w:p w:rsidR="00B621B2" w:rsidRDefault="00B621B2" w:rsidP="00847EC2">
    <w:pPr>
      <w:pStyle w:val="Footer"/>
      <w:jc w:val="center"/>
      <w:rPr>
        <w:b/>
        <w:color w:val="333399"/>
        <w:sz w:val="20"/>
        <w:szCs w:val="20"/>
      </w:rPr>
    </w:pPr>
    <w:r>
      <w:rPr>
        <w:b/>
        <w:color w:val="333399"/>
        <w:sz w:val="20"/>
        <w:szCs w:val="20"/>
      </w:rPr>
      <w:t xml:space="preserve">Registered in </w:t>
    </w:r>
    <w:smartTag w:uri="urn:schemas-microsoft-com:office:smarttags" w:element="country-region">
      <w:smartTag w:uri="urn:schemas-microsoft-com:office:smarttags" w:element="place">
        <w:r>
          <w:rPr>
            <w:b/>
            <w:color w:val="333399"/>
            <w:sz w:val="20"/>
            <w:szCs w:val="20"/>
          </w:rPr>
          <w:t>England</w:t>
        </w:r>
      </w:smartTag>
    </w:smartTag>
    <w:r>
      <w:rPr>
        <w:b/>
        <w:color w:val="333399"/>
        <w:sz w:val="20"/>
        <w:szCs w:val="20"/>
      </w:rPr>
      <w:t xml:space="preserve"> No. 2787731. VAT No. 740 7920 33</w:t>
    </w:r>
  </w:p>
  <w:p w:rsidR="00B621B2" w:rsidRPr="00BA4D31" w:rsidRDefault="00B621B2" w:rsidP="00847EC2">
    <w:pPr>
      <w:pStyle w:val="Footer"/>
      <w:jc w:val="center"/>
      <w:rPr>
        <w:b/>
        <w:color w:val="333399"/>
        <w:sz w:val="20"/>
        <w:szCs w:val="20"/>
      </w:rPr>
    </w:pPr>
    <w:r>
      <w:rPr>
        <w:b/>
        <w:color w:val="333399"/>
        <w:sz w:val="20"/>
        <w:szCs w:val="20"/>
      </w:rPr>
      <w:t>Directo</w:t>
    </w:r>
    <w:r w:rsidR="00EC5EBB">
      <w:rPr>
        <w:b/>
        <w:color w:val="333399"/>
        <w:sz w:val="20"/>
        <w:szCs w:val="20"/>
      </w:rPr>
      <w:t xml:space="preserve">rs </w:t>
    </w:r>
    <w:proofErr w:type="spellStart"/>
    <w:proofErr w:type="gramStart"/>
    <w:r w:rsidR="00EC5EBB">
      <w:rPr>
        <w:b/>
        <w:color w:val="333399"/>
        <w:sz w:val="20"/>
        <w:szCs w:val="20"/>
      </w:rPr>
      <w:t>S.W.Broughton</w:t>
    </w:r>
    <w:proofErr w:type="spellEnd"/>
    <w:r w:rsidR="00EC5EBB">
      <w:rPr>
        <w:b/>
        <w:color w:val="333399"/>
        <w:sz w:val="20"/>
        <w:szCs w:val="20"/>
      </w:rPr>
      <w:t xml:space="preserve"> </w:t>
    </w:r>
    <w:r w:rsidR="00744C14">
      <w:rPr>
        <w:b/>
        <w:color w:val="333399"/>
        <w:sz w:val="20"/>
        <w:szCs w:val="20"/>
      </w:rPr>
      <w:t>,</w:t>
    </w:r>
    <w:proofErr w:type="gramEnd"/>
    <w:r w:rsidR="00744C14">
      <w:rPr>
        <w:b/>
        <w:color w:val="333399"/>
        <w:sz w:val="20"/>
        <w:szCs w:val="20"/>
      </w:rPr>
      <w:t xml:space="preserve"> </w:t>
    </w:r>
    <w:proofErr w:type="spellStart"/>
    <w:r w:rsidR="00744C14">
      <w:rPr>
        <w:b/>
        <w:color w:val="333399"/>
        <w:sz w:val="20"/>
        <w:szCs w:val="20"/>
      </w:rPr>
      <w:t>M.V.Broughton</w:t>
    </w:r>
    <w:proofErr w:type="spellEnd"/>
    <w:r w:rsidR="00744C14">
      <w:rPr>
        <w:b/>
        <w:color w:val="333399"/>
        <w:sz w:val="20"/>
        <w:szCs w:val="20"/>
      </w:rPr>
      <w:t xml:space="preserve"> &amp; </w:t>
    </w:r>
    <w:proofErr w:type="spellStart"/>
    <w:r w:rsidR="00744C14">
      <w:rPr>
        <w:b/>
        <w:color w:val="333399"/>
        <w:sz w:val="20"/>
        <w:szCs w:val="20"/>
      </w:rPr>
      <w:t>A.J.S.Broughton</w:t>
    </w:r>
    <w:proofErr w:type="spellEnd"/>
  </w:p>
  <w:p w:rsidR="00B621B2" w:rsidRDefault="00B621B2" w:rsidP="00847EC2">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04" w:rsidRDefault="00391504">
      <w:r>
        <w:separator/>
      </w:r>
    </w:p>
  </w:footnote>
  <w:footnote w:type="continuationSeparator" w:id="0">
    <w:p w:rsidR="00391504" w:rsidRDefault="003915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A59" w:rsidRDefault="00B621B2" w:rsidP="00B621B2">
    <w:pPr>
      <w:pStyle w:val="Header"/>
      <w:jc w:val="center"/>
      <w:rPr>
        <w:b/>
        <w:color w:val="333399"/>
        <w:sz w:val="48"/>
        <w:szCs w:val="48"/>
      </w:rPr>
    </w:pPr>
    <w:r w:rsidRPr="00C00AE0">
      <w:rPr>
        <w:b/>
        <w:color w:val="333399"/>
        <w:sz w:val="48"/>
        <w:szCs w:val="48"/>
      </w:rPr>
      <w:t xml:space="preserve">KCG-ELECTRONICS </w:t>
    </w:r>
    <w:r w:rsidR="00EC5EBB">
      <w:rPr>
        <w:b/>
        <w:color w:val="333399"/>
        <w:sz w:val="48"/>
        <w:szCs w:val="48"/>
      </w:rPr>
      <w:t>(Ipswich</w:t>
    </w:r>
    <w:proofErr w:type="gramStart"/>
    <w:r w:rsidR="00EC5EBB">
      <w:rPr>
        <w:b/>
        <w:color w:val="333399"/>
        <w:sz w:val="48"/>
        <w:szCs w:val="48"/>
      </w:rPr>
      <w:t>)L</w:t>
    </w:r>
    <w:r w:rsidR="00904A59">
      <w:rPr>
        <w:b/>
        <w:color w:val="333399"/>
        <w:sz w:val="48"/>
        <w:szCs w:val="48"/>
      </w:rPr>
      <w:t>TD</w:t>
    </w:r>
    <w:proofErr w:type="gramEnd"/>
    <w:r w:rsidR="00EC5EBB">
      <w:rPr>
        <w:b/>
        <w:color w:val="333399"/>
        <w:sz w:val="48"/>
        <w:szCs w:val="48"/>
      </w:rPr>
      <w:t>.</w:t>
    </w:r>
  </w:p>
  <w:p w:rsidR="00B621B2" w:rsidRPr="00904A59" w:rsidRDefault="00904A59" w:rsidP="00B621B2">
    <w:pPr>
      <w:pStyle w:val="Header"/>
      <w:jc w:val="center"/>
      <w:rPr>
        <w:rFonts w:ascii="Algerian" w:hAnsi="Algerian"/>
        <w:b/>
        <w:color w:val="333399"/>
        <w:sz w:val="16"/>
        <w:szCs w:val="16"/>
        <w:u w:val="single"/>
      </w:rPr>
    </w:pPr>
    <w:r w:rsidRPr="00904A59">
      <w:rPr>
        <w:rFonts w:ascii="Algerian" w:hAnsi="Algerian"/>
        <w:b/>
        <w:i/>
        <w:color w:val="333399"/>
        <w:sz w:val="16"/>
        <w:szCs w:val="16"/>
        <w:u w:val="single"/>
      </w:rPr>
      <w:t>THE POWER TO DELIVER TOMORROWS TECHNOLOGY</w:t>
    </w:r>
    <w:r w:rsidR="002C2DAB" w:rsidRPr="00904A59">
      <w:rPr>
        <w:rFonts w:ascii="Algerian" w:hAnsi="Algerian"/>
        <w:b/>
        <w:color w:val="333399"/>
        <w:sz w:val="16"/>
        <w:szCs w:val="16"/>
        <w:u w:val="single"/>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232A4B"/>
    <w:rsid w:val="0002095B"/>
    <w:rsid w:val="00145922"/>
    <w:rsid w:val="00162219"/>
    <w:rsid w:val="001F2487"/>
    <w:rsid w:val="00232A4B"/>
    <w:rsid w:val="002C2DAB"/>
    <w:rsid w:val="00325DD5"/>
    <w:rsid w:val="00391504"/>
    <w:rsid w:val="003D00D6"/>
    <w:rsid w:val="003D40C1"/>
    <w:rsid w:val="00440E19"/>
    <w:rsid w:val="004D73B6"/>
    <w:rsid w:val="005238BA"/>
    <w:rsid w:val="00550837"/>
    <w:rsid w:val="005712BA"/>
    <w:rsid w:val="0057306E"/>
    <w:rsid w:val="005D1AE8"/>
    <w:rsid w:val="00644157"/>
    <w:rsid w:val="00645528"/>
    <w:rsid w:val="0070370D"/>
    <w:rsid w:val="00717D22"/>
    <w:rsid w:val="00741992"/>
    <w:rsid w:val="00744C14"/>
    <w:rsid w:val="007B12E1"/>
    <w:rsid w:val="00847EC2"/>
    <w:rsid w:val="008B6795"/>
    <w:rsid w:val="008B6B97"/>
    <w:rsid w:val="008C61ED"/>
    <w:rsid w:val="008E3E8E"/>
    <w:rsid w:val="00904A59"/>
    <w:rsid w:val="00962C69"/>
    <w:rsid w:val="00A440BB"/>
    <w:rsid w:val="00A95C4C"/>
    <w:rsid w:val="00AE01D6"/>
    <w:rsid w:val="00B621B2"/>
    <w:rsid w:val="00BA4D31"/>
    <w:rsid w:val="00BC445F"/>
    <w:rsid w:val="00C00AE0"/>
    <w:rsid w:val="00C91A72"/>
    <w:rsid w:val="00D4796C"/>
    <w:rsid w:val="00D739C0"/>
    <w:rsid w:val="00DA0256"/>
    <w:rsid w:val="00E32282"/>
    <w:rsid w:val="00E51F28"/>
    <w:rsid w:val="00EB0E0C"/>
    <w:rsid w:val="00EB2C8E"/>
    <w:rsid w:val="00EC5EBB"/>
    <w:rsid w:val="00F805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2B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4D31"/>
    <w:pPr>
      <w:tabs>
        <w:tab w:val="center" w:pos="4320"/>
        <w:tab w:val="right" w:pos="8640"/>
      </w:tabs>
    </w:pPr>
  </w:style>
  <w:style w:type="paragraph" w:styleId="Footer">
    <w:name w:val="footer"/>
    <w:basedOn w:val="Normal"/>
    <w:rsid w:val="00BA4D31"/>
    <w:pPr>
      <w:tabs>
        <w:tab w:val="center" w:pos="4320"/>
        <w:tab w:val="right" w:pos="8640"/>
      </w:tabs>
    </w:pPr>
  </w:style>
  <w:style w:type="character" w:styleId="Hyperlink">
    <w:name w:val="Hyperlink"/>
    <w:basedOn w:val="DefaultParagraphFont"/>
    <w:rsid w:val="00B621B2"/>
    <w:rPr>
      <w:color w:val="0000FF"/>
      <w:u w:val="single"/>
    </w:rPr>
  </w:style>
  <w:style w:type="paragraph" w:styleId="BalloonText">
    <w:name w:val="Balloon Text"/>
    <w:basedOn w:val="Normal"/>
    <w:link w:val="BalloonTextChar"/>
    <w:uiPriority w:val="99"/>
    <w:semiHidden/>
    <w:unhideWhenUsed/>
    <w:rsid w:val="00BC445F"/>
    <w:rPr>
      <w:rFonts w:ascii="Tahoma" w:hAnsi="Tahoma" w:cs="Tahoma"/>
      <w:sz w:val="16"/>
      <w:szCs w:val="16"/>
    </w:rPr>
  </w:style>
  <w:style w:type="character" w:customStyle="1" w:styleId="BalloonTextChar">
    <w:name w:val="Balloon Text Char"/>
    <w:basedOn w:val="DefaultParagraphFont"/>
    <w:link w:val="BalloonText"/>
    <w:uiPriority w:val="99"/>
    <w:semiHidden/>
    <w:rsid w:val="00BC445F"/>
    <w:rPr>
      <w:rFonts w:ascii="Tahoma" w:hAnsi="Tahoma" w:cs="Tahoma"/>
      <w:sz w:val="16"/>
      <w:szCs w:val="16"/>
      <w:lang w:val="en-US" w:eastAsia="en-US"/>
    </w:rPr>
  </w:style>
  <w:style w:type="paragraph" w:styleId="NormalWeb">
    <w:name w:val="Normal (Web)"/>
    <w:basedOn w:val="Normal"/>
    <w:uiPriority w:val="99"/>
    <w:semiHidden/>
    <w:unhideWhenUsed/>
    <w:rsid w:val="00904A59"/>
    <w:pPr>
      <w:spacing w:after="150"/>
    </w:pPr>
    <w:rPr>
      <w:lang w:val="en-GB" w:eastAsia="en-GB"/>
    </w:rPr>
  </w:style>
</w:styles>
</file>

<file path=word/webSettings.xml><?xml version="1.0" encoding="utf-8"?>
<w:webSettings xmlns:r="http://schemas.openxmlformats.org/officeDocument/2006/relationships" xmlns:w="http://schemas.openxmlformats.org/wordprocessingml/2006/main">
  <w:divs>
    <w:div w:id="47194267">
      <w:bodyDiv w:val="1"/>
      <w:marLeft w:val="0"/>
      <w:marRight w:val="0"/>
      <w:marTop w:val="0"/>
      <w:marBottom w:val="0"/>
      <w:divBdr>
        <w:top w:val="none" w:sz="0" w:space="0" w:color="auto"/>
        <w:left w:val="none" w:sz="0" w:space="0" w:color="auto"/>
        <w:bottom w:val="none" w:sz="0" w:space="0" w:color="auto"/>
        <w:right w:val="none" w:sz="0" w:space="0" w:color="auto"/>
      </w:divBdr>
      <w:divsChild>
        <w:div w:id="466701833">
          <w:marLeft w:val="0"/>
          <w:marRight w:val="0"/>
          <w:marTop w:val="0"/>
          <w:marBottom w:val="150"/>
          <w:divBdr>
            <w:top w:val="none" w:sz="0" w:space="0" w:color="auto"/>
            <w:left w:val="none" w:sz="0" w:space="0" w:color="auto"/>
            <w:bottom w:val="none" w:sz="0" w:space="0" w:color="auto"/>
            <w:right w:val="none" w:sz="0" w:space="0" w:color="auto"/>
          </w:divBdr>
        </w:div>
        <w:div w:id="1155144239">
          <w:marLeft w:val="0"/>
          <w:marRight w:val="0"/>
          <w:marTop w:val="0"/>
          <w:marBottom w:val="150"/>
          <w:divBdr>
            <w:top w:val="none" w:sz="0" w:space="0" w:color="auto"/>
            <w:left w:val="none" w:sz="0" w:space="0" w:color="auto"/>
            <w:bottom w:val="none" w:sz="0" w:space="0" w:color="auto"/>
            <w:right w:val="none" w:sz="0" w:space="0" w:color="auto"/>
          </w:divBdr>
        </w:div>
      </w:divsChild>
    </w:div>
    <w:div w:id="1235622789">
      <w:bodyDiv w:val="1"/>
      <w:marLeft w:val="0"/>
      <w:marRight w:val="0"/>
      <w:marTop w:val="0"/>
      <w:marBottom w:val="0"/>
      <w:divBdr>
        <w:top w:val="none" w:sz="0" w:space="0" w:color="auto"/>
        <w:left w:val="none" w:sz="0" w:space="0" w:color="auto"/>
        <w:bottom w:val="none" w:sz="0" w:space="0" w:color="auto"/>
        <w:right w:val="none" w:sz="0" w:space="0" w:color="auto"/>
      </w:divBdr>
    </w:div>
    <w:div w:id="1312058800">
      <w:bodyDiv w:val="1"/>
      <w:marLeft w:val="0"/>
      <w:marRight w:val="0"/>
      <w:marTop w:val="0"/>
      <w:marBottom w:val="0"/>
      <w:divBdr>
        <w:top w:val="none" w:sz="0" w:space="0" w:color="auto"/>
        <w:left w:val="none" w:sz="0" w:space="0" w:color="auto"/>
        <w:bottom w:val="none" w:sz="0" w:space="0" w:color="auto"/>
        <w:right w:val="none" w:sz="0" w:space="0" w:color="auto"/>
      </w:divBdr>
      <w:divsChild>
        <w:div w:id="18070414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Andrew</cp:lastModifiedBy>
  <cp:revision>2</cp:revision>
  <dcterms:created xsi:type="dcterms:W3CDTF">2010-12-09T15:00:00Z</dcterms:created>
  <dcterms:modified xsi:type="dcterms:W3CDTF">2010-12-09T15:00:00Z</dcterms:modified>
</cp:coreProperties>
</file>